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2.png" ContentType="image/png"/>
  <Override PartName="/word/media/rId91.png" ContentType="image/png"/>
  <Override PartName="/word/media/rId55.png" ContentType="image/png"/>
  <Override PartName="/word/media/rId88.png" ContentType="image/png"/>
  <Override PartName="/word/media/rId61.png" ContentType="image/png"/>
  <Override PartName="/word/media/rId86.png" ContentType="image/png"/>
  <Override PartName="/word/media/rId58.png" ContentType="image/png"/>
  <Override PartName="/word/media/rId95.png" ContentType="image/png"/>
  <Override PartName="/word/media/rId100.png" ContentType="image/png"/>
  <Override PartName="/word/media/rId101.png" ContentType="image/png"/>
  <Override PartName="/word/media/rId99.png" ContentType="image/png"/>
  <Override PartName="/word/media/rId38.png" ContentType="image/png"/>
  <Override PartName="/word/media/rId44.png" ContentType="image/png"/>
  <Override PartName="/word/media/rId111.png" ContentType="image/png"/>
  <Override PartName="/word/media/rId53.jpg" ContentType="image/jpeg"/>
  <Override PartName="/word/media/rId41.png" ContentType="image/png"/>
  <Override PartName="/word/media/rId69.png" ContentType="image/png"/>
  <Override PartName="/word/media/rId56.png" ContentType="image/png"/>
  <Override PartName="/word/media/rId82.png" ContentType="image/png"/>
  <Override PartName="/word/media/rId81.png" ContentType="image/png"/>
  <Override PartName="/word/media/rId103.png" ContentType="image/png"/>
  <Override PartName="/word/media/rId96.png" ContentType="image/png"/>
  <Override PartName="/word/media/rId109.png" ContentType="image/png"/>
  <Override PartName="/word/media/rId46.png" ContentType="image/png"/>
  <Override PartName="/word/media/rId48.png" ContentType="image/png"/>
  <Override PartName="/word/media/rId42.png" ContentType="image/png"/>
  <Override PartName="/word/media/rId87.png" ContentType="image/png"/>
  <Override PartName="/word/media/rId59.jpg" ContentType="image/jpeg"/>
  <Override PartName="/word/media/rId27.png" ContentType="image/png"/>
  <Override PartName="/word/media/rId72.png" ContentType="image/png"/>
  <Override PartName="/word/media/rId71.jpg" ContentType="image/jpeg"/>
  <Override PartName="/word/media/rId47.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Chapter X.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(Randall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and-perception"/>
      <w:bookmarkEnd w:id="73"/>
      <w:r>
        <w:t xml:space="preserve">Chapter 4: Sensation and Perception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FirstParagraph"/>
      </w:pPr>
      <w:r>
        <w:t xml:space="preserve">Key points: Compression, Contrast, Top-down</w:t>
      </w:r>
    </w:p>
    <w:p>
      <w:pPr>
        <w:pStyle w:val="NewPage"/>
      </w:pPr>
      <w:r>
        <w:t xml:space="preserve"/>
      </w:r>
    </w:p>
    <w:p>
      <w:pPr>
        <w:pStyle w:val="Heading1"/>
      </w:pPr>
      <w:bookmarkStart w:id="79" w:name="chapter-5-learning-motivation-and-emotion"/>
      <w:bookmarkEnd w:id="79"/>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0" w:name="synaptic-plasticity"/>
      <w:bookmarkEnd w:id="80"/>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1"/>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2"/>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3" w:name="neocortical-learning"/>
      <w:bookmarkEnd w:id="83"/>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Randall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4" w:name="dopamine-modulated-learning"/>
      <w:bookmarkEnd w:id="84"/>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5" w:name="classical-pavlovian-conditioning"/>
      <w:bookmarkEnd w:id="85"/>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6"/>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8"/>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89" w:name="extinction-and-context-in-conditioning"/>
      <w:bookmarkEnd w:id="89"/>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0" w:name="operant-instrumental-conditioning"/>
      <w:bookmarkEnd w:id="90"/>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1"/>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2"/>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3" w:name="partial-reinforcement-gambling-and-shaping"/>
      <w:bookmarkEnd w:id="93"/>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4" w:name="motivation"/>
      <w:bookmarkEnd w:id="94"/>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5"/>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6"/>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7" w:name="goal-driven-behavior"/>
      <w:bookmarkEnd w:id="97"/>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8" w:name="emotion-and-arousal"/>
      <w:bookmarkEnd w:id="98"/>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99"/>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0"/>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1"/>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2" w:name="emotional-motivational-encoding-in-vmpfc"/>
      <w:bookmarkEnd w:id="102"/>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3"/>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4" w:name="biological-grounding-of-emotion-and-arousal"/>
      <w:bookmarkEnd w:id="104"/>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5" w:name="summary-of-key-terms-1"/>
      <w:bookmarkEnd w:id="105"/>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6" w:name="chapter-6-memory"/>
      <w:bookmarkEnd w:id="106"/>
      <w:r>
        <w:t xml:space="preserve">Chapter 6: Memory</w:t>
      </w:r>
    </w:p>
    <w:p>
      <w:pPr>
        <w:pStyle w:val="FirstParagraph"/>
      </w:pPr>
      <w:r>
        <w:t xml:space="preserve">Memory is the direct product of learning, and thus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in school. Our memories are also a core aspect of our sense of self, and movies such as</w:t>
      </w:r>
      <w:r>
        <w:t xml:space="preserve"> </w:t>
      </w:r>
      <w:r>
        <w:rPr>
          <w:i/>
        </w:rPr>
        <w:t xml:space="preserve">Total Recall</w:t>
      </w:r>
      <w:r>
        <w:t xml:space="preserve"> </w:t>
      </w:r>
      <w:r>
        <w:t xml:space="preserve">have explored this function of memories in provocative and interesting ways. Furthermore, by now most people have heard about amnesia produced by damage to the</w:t>
      </w:r>
      <w:r>
        <w:t xml:space="preserve"> </w:t>
      </w:r>
      <w:r>
        <w:rPr>
          <w:i/>
        </w:rPr>
        <w:t xml:space="preserve">hippocampus</w:t>
      </w:r>
      <w:r>
        <w:t xml:space="preserve">, from movies like</w:t>
      </w:r>
      <w:r>
        <w:t xml:space="preserve"> </w:t>
      </w:r>
      <w:r>
        <w:rPr>
          <w:i/>
        </w:rPr>
        <w:t xml:space="preserve">Memento</w:t>
      </w:r>
      <w:r>
        <w:t xml:space="preserve"> </w:t>
      </w:r>
      <w:r>
        <w:t xml:space="preserve">and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From this and many other cases, it is clear that the hippocampus plays an essential role in memory, but how, and why?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7" w:name="from-synapses-to-memory"/>
      <w:bookmarkEnd w:id="107"/>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out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but not decision making, while synaptic changes in the frontal cortex and basal ganglia should affect decision making but not vision. Below, we'll see how synaptic changes in the hippocampus come to be some important for so much of what we generally think of as "memory".</w:t>
      </w:r>
    </w:p>
    <w:p>
      <w:pPr>
        <w:pStyle w:val="BodyText"/>
      </w:pPr>
      <w:r>
        <w:t xml:space="preserve">The functional advantage of RAM for a computer is not so clear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 LTP and long-term depression /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are these experiences made out of, in the brain?</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computational function going on in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type of persistence of information over time in the brain.</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(e.g., once a neuron stops firing, any information it was communicating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type of memory supported by any given neuron and its synapses is a direct function of its role within the larger neural networks of the brain -- memory is fundamentally reflecting an alteration in the processing of the relevant neurons.</w:t>
      </w:r>
    </w:p>
    <w:p>
      <w:pPr>
        <w:pStyle w:val="Heading2"/>
      </w:pPr>
      <w:bookmarkStart w:id="108" w:name="the-modal-model-of-memory"/>
      <w:bookmarkEnd w:id="108"/>
      <w:r>
        <w:t xml:space="preserve">The Modal Model of Memory</w:t>
      </w:r>
    </w:p>
    <w:p>
      <w:pPr>
        <w:pStyle w:val="FigureWithCaption"/>
      </w:pPr>
      <w:r>
        <w:drawing>
          <wp:inline>
            <wp:extent cx="5943600" cy="2282058"/>
            <wp:effectExtent b="0" l="0" r="0" t="0"/>
            <wp:docPr descr="Fig 6-1: The modal model of memory."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09"/>
                    <a:stretch>
                      <a:fillRect/>
                    </a:stretch>
                  </pic:blipFill>
                  <pic:spPr bwMode="auto">
                    <a:xfrm>
                      <a:off x="0" y="0"/>
                      <a:ext cx="5943600" cy="2282058"/>
                    </a:xfrm>
                    <a:prstGeom prst="rect">
                      <a:avLst/>
                    </a:prstGeom>
                    <a:noFill/>
                    <a:ln w="9525">
                      <a:noFill/>
                      <a:headEnd/>
                      <a:tailEnd/>
                    </a:ln>
                  </pic:spPr>
                </pic:pic>
              </a:graphicData>
            </a:graphic>
          </wp:inline>
        </w:drawing>
      </w:r>
    </w:p>
    <w:p>
      <w:pPr>
        <w:pStyle w:val="ImageCaption"/>
      </w:pPr>
      <w:r>
        <w:t xml:space="preserve">Fig 6-1: The modal model of memory.</w:t>
      </w:r>
    </w:p>
    <w:p>
      <w:pPr>
        <w:pStyle w:val="BodyText"/>
      </w:pPr>
      <w:r>
        <w:t xml:space="preserve">Figure 6-1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Clearly,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processing pathways discussed in the Neuroscience chapter.</w:t>
      </w:r>
    </w:p>
    <w:p>
      <w:pPr>
        <w:pStyle w:val="FigureWithCaption"/>
      </w:pPr>
      <w:r>
        <w:drawing>
          <wp:inline>
            <wp:extent cx="5943600" cy="2282058"/>
            <wp:effectExtent b="0" l="0" r="0" t="0"/>
            <wp:docPr descr="Fig 6-1: The modal model of memory."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09"/>
                    <a:stretch>
                      <a:fillRect/>
                    </a:stretch>
                  </pic:blipFill>
                  <pic:spPr bwMode="auto">
                    <a:xfrm>
                      <a:off x="0" y="0"/>
                      <a:ext cx="5943600" cy="2282058"/>
                    </a:xfrm>
                    <a:prstGeom prst="rect">
                      <a:avLst/>
                    </a:prstGeom>
                    <a:noFill/>
                    <a:ln w="9525">
                      <a:noFill/>
                      <a:headEnd/>
                      <a:tailEnd/>
                    </a:ln>
                  </pic:spPr>
                </pic:pic>
              </a:graphicData>
            </a:graphic>
          </wp:inline>
        </w:drawing>
      </w:r>
    </w:p>
    <w:p>
      <w:pPr>
        <w:pStyle w:val="ImageCaption"/>
      </w:pPr>
      <w:r>
        <w:t xml:space="preserve">Fig 6-2: Sperling's sensory memory task.</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Classic experiments by</w:t>
      </w:r>
      <w:r>
        <w:t xml:space="preserve"> </w:t>
      </w:r>
      <w:r>
        <w:rPr>
          <w:i/>
        </w:rPr>
        <w:t xml:space="preserve">George Sperling</w:t>
      </w:r>
      <w:r>
        <w:t xml:space="preserve"> </w:t>
      </w:r>
      <w:r>
        <w:t xml:space="preserve">and others established these duration values, by flashing a display with 3 rows of 3 letters each (Figure 6-2), and probing people to report a particular row from the display after variable delays</w:t>
      </w:r>
      <w:r>
        <w:t xml:space="preserve"> </w:t>
      </w:r>
      <w:r>
        <w:t xml:space="preserve">(</w:t>
      </w:r>
      <w:r>
        <w:rPr>
          <w:b/>
        </w:rPr>
        <w:t xml:space="preserve">???</w:t>
      </w:r>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but this only works as long as the fading activity trace of the full display persists in the visual neurons.</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 that have more highly compressed encodings of the sensory input. For reasons that are well-understood computationally, attention is required to filter the lower-level sensory input before these higher-level areas can extract their more compressed, abstract encodings, thus explaining the lower capacity of STM relative to sensory memory.</w:t>
      </w:r>
    </w:p>
    <w:p>
      <w:pPr>
        <w:pStyle w:val="BodyText"/>
      </w:pPr>
      <w:r>
        <w:t xml:space="preserve">Furthermore, the smaller capacity of STM enables it to persit for longer periods of time, because more neurons across multiple of these higher-level areas can participate in representing this information, resulting in a more redundant and robust collection of such neurons. STM corresponds to the fully recurrent activated state that is likely to be the subject of conscious awareness, as discussed in the Consciousness chapter, and indeed one of the definining characteristics of STM is that you are consciously aware of it.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the modal model only includes memory mechanisms based on neural activity up to this point. The synapses in the sensory pathways have been very well-trained by the time anyone is participating in Sperling-style experiments, and thus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sounds like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and hard-disk really apply in the brain?</w:t>
      </w:r>
    </w:p>
    <w:p>
      <w:pPr>
        <w:pStyle w:val="Heading2"/>
      </w:pPr>
      <w:bookmarkStart w:id="110" w:name="the-hippocampus"/>
      <w:bookmarkEnd w:id="110"/>
      <w:r>
        <w:t xml:space="preserve">The Hippocampus</w:t>
      </w:r>
    </w:p>
    <w:p>
      <w:pPr>
        <w:pStyle w:val="FigureWithCaption"/>
      </w:pPr>
      <w:r>
        <w:drawing>
          <wp:inline>
            <wp:extent cx="5943600" cy="3066482"/>
            <wp:effectExtent b="0" l="0" r="0" t="0"/>
            <wp:docPr descr="Fig 6-3: Connectivity and structure of the hippocampus."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1"/>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6-3: Connectivity and structure of the hippocampus.</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depends on the hippocampus. As noted in the Neuroscience chapter, the hippocampus sits "on top" of the neocortical hierarchy of areas, and can quickly take a "snapshot" of the current pattern of activity across the upper layers of the cortex (Figure 6-3). Thus, the unique anatomical position of the hippocampus, plus some important special properties of the hippocampus itself, enable it to play such a critical role in the encoding and retrieval of memories. In brief, you can think of the hippocampal neurons as</w:t>
      </w:r>
      <w:r>
        <w:t xml:space="preserve"> </w:t>
      </w:r>
      <w:r>
        <w:rPr>
          <w:i/>
        </w:rPr>
        <w:t xml:space="preserve">detecting</w:t>
      </w:r>
      <w:r>
        <w:t xml:space="preserve"> </w:t>
      </w:r>
      <w:r>
        <w:t xml:space="preserve">the elements of a memory, and when these neurons fire, they act to</w:t>
      </w:r>
      <w:r>
        <w:t xml:space="preserve"> </w:t>
      </w:r>
      <w:r>
        <w:rPr>
          <w:i/>
        </w:rPr>
        <w:t xml:space="preserve">recreate</w:t>
      </w:r>
      <w:r>
        <w:t xml:space="preserve"> </w:t>
      </w:r>
      <w:r>
        <w:t xml:space="preserve">the memory out in the neocortex.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BodyText"/>
      </w:pPr>
      <w:r>
        <w:t xml:space="preserve">Convergence, pattern separation, pattern completion.</w:t>
      </w:r>
    </w:p>
    <w:p>
      <w:pPr>
        <w:pStyle w:val="Heading2"/>
      </w:pPr>
      <w:bookmarkStart w:id="112" w:name="chunks-are-the-items-of-memory"/>
      <w:bookmarkEnd w:id="112"/>
      <w:r>
        <w:t xml:space="preserve">Chunks are the Items of Memory</w:t>
      </w:r>
    </w:p>
    <w:p>
      <w:pPr>
        <w:pStyle w:val="Heading2"/>
      </w:pPr>
      <w:bookmarkStart w:id="113" w:name="encoding-and-retrieval-strategies-i.e.-how-to-study"/>
      <w:bookmarkEnd w:id="113"/>
      <w:r>
        <w:t xml:space="preserve">Encoding and Retrieval Strategies (i.e., How to Study!)</w:t>
      </w:r>
    </w:p>
    <w:p>
      <w:pPr>
        <w:pStyle w:val="Heading2"/>
      </w:pPr>
      <w:bookmarkStart w:id="114" w:name="working-memory-and-the-prefrontal-cortex"/>
      <w:bookmarkEnd w:id="114"/>
      <w:r>
        <w:t xml:space="preserve">Working Memory and the Prefrontal Cortex</w:t>
      </w:r>
    </w:p>
    <w:p>
      <w:pPr>
        <w:pStyle w:val="Heading2"/>
      </w:pPr>
      <w:bookmarkStart w:id="115" w:name="summary-of-key-terms-2"/>
      <w:bookmarkEnd w:id="115"/>
      <w:r>
        <w:t xml:space="preserve">Summary of Key Terms</w:t>
      </w:r>
    </w:p>
    <w:p>
      <w:pPr>
        <w:pStyle w:val="FirstParagraph"/>
      </w:pPr>
      <w:r>
        <w:t xml:space="preserve">This is a checklist of key terms / concepts that you should know about from this chapter.</w:t>
      </w:r>
    </w:p>
    <w:p>
      <w:pPr>
        <w:pStyle w:val="NewPage"/>
      </w:pPr>
      <w:r>
        <w:t xml:space="preserve"/>
      </w:r>
    </w:p>
    <w:p>
      <w:pPr>
        <w:pStyle w:val="Heading1"/>
      </w:pPr>
      <w:bookmarkStart w:id="116" w:name="acknowledgments"/>
      <w:bookmarkEnd w:id="116"/>
      <w:r>
        <w:t xml:space="preserve">Acknowledgments</w:t>
      </w:r>
    </w:p>
    <w:p>
      <w:pPr>
        <w:pStyle w:val="FirstParagraph"/>
      </w:pPr>
      <w:r>
        <w:t xml:space="preserve">Thanks to the current beta-testers for reading!</w:t>
      </w:r>
    </w:p>
    <w:p>
      <w:pPr>
        <w:pStyle w:val="NewPage"/>
      </w:pPr>
      <w:r>
        <w:t xml:space="preserve"/>
      </w:r>
    </w:p>
    <w:p>
      <w:pPr>
        <w:pStyle w:val="Heading1"/>
      </w:pPr>
      <w:bookmarkStart w:id="117" w:name="glossary"/>
      <w:bookmarkEnd w:id="117"/>
      <w:r>
        <w:t xml:space="preserve">Glossary</w:t>
      </w:r>
    </w:p>
    <w:p>
      <w:pPr>
        <w:pStyle w:val="NewPage"/>
      </w:pPr>
      <w:r>
        <w:t xml:space="preserve"/>
      </w:r>
    </w:p>
    <w:p>
      <w:pPr>
        <w:pStyle w:val="Heading1"/>
      </w:pPr>
      <w:bookmarkStart w:id="118" w:name="about-the-authors"/>
      <w:bookmarkEnd w:id="118"/>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19" w:name="references"/>
      <w:bookmarkEnd w:id="119"/>
      <w:r>
        <w:t xml:space="preserve">References</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20">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Hazy, Thomas E., Michael J. Frank, and Randall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21">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22">
        <w:r>
          <w:rPr>
            <w:rStyle w:val="Hyperlink"/>
          </w:rPr>
          <w:t xml:space="preserve">10.1521/pedi.2013.27.3.270</w:t>
        </w:r>
      </w:hyperlink>
      <w:r>
        <w:t xml:space="preserve">.</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23">
        <w:r>
          <w:rPr>
            <w:rStyle w:val="Hyperlink"/>
          </w:rPr>
          <w:t xml:space="preserve">10.1038/nrn.2016.150</w:t>
        </w:r>
      </w:hyperlink>
      <w:r>
        <w:t xml:space="preserve">.</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24">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Randall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Randall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25">
        <w:r>
          <w:rPr>
            <w:rStyle w:val="Hyperlink"/>
          </w:rPr>
          <w:t xml:space="preserve">10.1038/nature03687</w:t>
        </w:r>
      </w:hyperlink>
      <w:r>
        <w:t xml:space="preserve">.</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26">
        <w:r>
          <w:rPr>
            <w:rStyle w:val="Hyperlink"/>
          </w:rPr>
          <w:t xml:space="preserve">10.1038/nature24270</w:t>
        </w:r>
      </w:hyperlink>
      <w:r>
        <w:t xml:space="preserve">.</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16544e1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4eb900c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5f58b1f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55" Target="media/rId55.png" /><Relationship Type="http://schemas.openxmlformats.org/officeDocument/2006/relationships/image" Id="rId88" Target="media/rId88.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9" Target="media/rId99.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111" Target="media/rId111.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103" Target="media/rId103.png" /><Relationship Type="http://schemas.openxmlformats.org/officeDocument/2006/relationships/image" Id="rId96" Target="media/rId96.png" /><Relationship Type="http://schemas.openxmlformats.org/officeDocument/2006/relationships/image" Id="rId109" Target="media/rId109.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87" Target="media/rId87.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20" Target="https://doi.org/10.1007/BF03392017" TargetMode="External" /><Relationship Type="http://schemas.openxmlformats.org/officeDocument/2006/relationships/hyperlink" Id="rId125" Target="https://doi.org/10.1038/nature03687" TargetMode="External" /><Relationship Type="http://schemas.openxmlformats.org/officeDocument/2006/relationships/hyperlink" Id="rId126" Target="https://doi.org/10.1038/nature24270" TargetMode="External" /><Relationship Type="http://schemas.openxmlformats.org/officeDocument/2006/relationships/hyperlink" Id="rId123" Target="https://doi.org/10.1038/nrn.2016.150" TargetMode="External" /><Relationship Type="http://schemas.openxmlformats.org/officeDocument/2006/relationships/hyperlink" Id="rId124" Target="https://doi.org/10.1098/rstb.1971.0078" TargetMode="External" /><Relationship Type="http://schemas.openxmlformats.org/officeDocument/2006/relationships/hyperlink" Id="rId121" Target="https://doi.org/10.1113/jphysiol.1952.sp004764" TargetMode="External" /><Relationship Type="http://schemas.openxmlformats.org/officeDocument/2006/relationships/hyperlink" Id="rId122" Target="https://doi.org/10.1521/pedi.2013.27.3.270"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20" Target="https://doi.org/10.1007/BF03392017" TargetMode="External" /><Relationship Type="http://schemas.openxmlformats.org/officeDocument/2006/relationships/hyperlink" Id="rId125" Target="https://doi.org/10.1038/nature03687" TargetMode="External" /><Relationship Type="http://schemas.openxmlformats.org/officeDocument/2006/relationships/hyperlink" Id="rId126" Target="https://doi.org/10.1038/nature24270" TargetMode="External" /><Relationship Type="http://schemas.openxmlformats.org/officeDocument/2006/relationships/hyperlink" Id="rId123" Target="https://doi.org/10.1038/nrn.2016.150" TargetMode="External" /><Relationship Type="http://schemas.openxmlformats.org/officeDocument/2006/relationships/hyperlink" Id="rId124" Target="https://doi.org/10.1098/rstb.1971.0078" TargetMode="External" /><Relationship Type="http://schemas.openxmlformats.org/officeDocument/2006/relationships/hyperlink" Id="rId121" Target="https://doi.org/10.1113/jphysiol.1952.sp004764" TargetMode="External" /><Relationship Type="http://schemas.openxmlformats.org/officeDocument/2006/relationships/hyperlink" Id="rId122" Target="https://doi.org/10.1521/pedi.2013.27.3.270"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2018-10-14T09:38:48Z</dcterms:created>
  <dcterms:modified xsi:type="dcterms:W3CDTF">2018-10-14T09:38:48Z</dcterms:modified>
</cp:coreProperties>
</file>